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855" w:rsidRDefault="00D33855" w:rsidP="00D33855">
      <w:pPr>
        <w:rPr>
          <w:b/>
          <w:sz w:val="28"/>
        </w:rPr>
      </w:pPr>
    </w:p>
    <w:p w:rsidR="00587D86" w:rsidRPr="00AD45A4" w:rsidRDefault="00587D86" w:rsidP="00D33855">
      <w:pPr>
        <w:rPr>
          <w:b/>
          <w:color w:val="2E74B5" w:themeColor="accent1" w:themeShade="BF"/>
          <w:sz w:val="28"/>
          <w:u w:val="single"/>
        </w:rPr>
      </w:pPr>
      <w:r w:rsidRPr="00AD45A4">
        <w:rPr>
          <w:b/>
          <w:color w:val="2E74B5" w:themeColor="accent1" w:themeShade="BF"/>
          <w:sz w:val="28"/>
          <w:u w:val="single"/>
        </w:rPr>
        <w:t>Întrebări frecvente</w:t>
      </w:r>
    </w:p>
    <w:p w:rsidR="00A11A86" w:rsidRPr="00AD45A4" w:rsidRDefault="00A11A86" w:rsidP="00D33855">
      <w:pPr>
        <w:rPr>
          <w:b/>
          <w:color w:val="2E74B5" w:themeColor="accent1" w:themeShade="BF"/>
        </w:rPr>
      </w:pPr>
      <w:r w:rsidRPr="00AD45A4">
        <w:rPr>
          <w:b/>
          <w:color w:val="2E74B5" w:themeColor="accent1" w:themeShade="BF"/>
        </w:rPr>
        <w:t>Apelul POR/14/2/1/Consolidarea poziției pe piața a IMM-urilor în domeniile competitive identificate în SNC și PDR-uri</w:t>
      </w:r>
      <w:r w:rsidR="006D0DF8" w:rsidRPr="00AD45A4">
        <w:rPr>
          <w:b/>
          <w:color w:val="2E74B5" w:themeColor="accent1" w:themeShade="BF"/>
        </w:rPr>
        <w:t xml:space="preserve"> </w:t>
      </w:r>
      <w:r w:rsidRPr="00AD45A4">
        <w:rPr>
          <w:b/>
          <w:color w:val="2E74B5" w:themeColor="accent1" w:themeShade="BF"/>
        </w:rPr>
        <w:t>(</w:t>
      </w:r>
      <w:r w:rsidR="006D0DF8" w:rsidRPr="00AD45A4">
        <w:rPr>
          <w:b/>
          <w:color w:val="2E74B5" w:themeColor="accent1" w:themeShade="BF"/>
        </w:rPr>
        <w:t xml:space="preserve">2.1.A - </w:t>
      </w:r>
      <w:r w:rsidRPr="00AD45A4">
        <w:rPr>
          <w:b/>
          <w:color w:val="2E74B5" w:themeColor="accent1" w:themeShade="BF"/>
        </w:rPr>
        <w:t>Microîntreprinderi)</w:t>
      </w:r>
    </w:p>
    <w:p w:rsidR="00446351" w:rsidRDefault="00446351" w:rsidP="001D720A">
      <w:pPr>
        <w:jc w:val="both"/>
      </w:pPr>
    </w:p>
    <w:p w:rsidR="00446351" w:rsidRPr="00446351" w:rsidRDefault="00446351" w:rsidP="001D720A">
      <w:pPr>
        <w:pStyle w:val="ListParagraph"/>
        <w:numPr>
          <w:ilvl w:val="0"/>
          <w:numId w:val="1"/>
        </w:numPr>
        <w:jc w:val="both"/>
        <w:rPr>
          <w:b/>
        </w:rPr>
      </w:pPr>
      <w:r w:rsidRPr="00446351">
        <w:rPr>
          <w:b/>
        </w:rPr>
        <w:t>Mi-am autoevaluat proiectul si aș obține 80 de puncte la evaluarea tehnică și financiară. Pot să depun proiectul în primele două luni de la deschiderea apelului?</w:t>
      </w:r>
    </w:p>
    <w:p w:rsidR="00446351" w:rsidRDefault="00446351" w:rsidP="001D720A">
      <w:pPr>
        <w:pStyle w:val="ListParagraph"/>
        <w:jc w:val="both"/>
      </w:pPr>
      <w:r w:rsidRPr="00176F19">
        <w:t xml:space="preserve">Conform precizărilor din ghidul specific, toate proiectele depuse în primele 2 luni ale apelului parcurg etapa de verificare a conformității și eligibilității, proiectele conforme și eligibile fiind apoi evaluate tehnic și financiar. Doar proiectele care obțin un minim de 85 de puncte sunt incluse în etapa de contractare, restul urmând a intra în competiție cu proiectele depuse în cea de-a treia lună a apelului șamd. În funcție de gradul de acoperire a bugetului alocat apelului, depunerea proiectelor poate fi suspendată, însă nu mai devreme de primele 2 luni ale apelului. </w:t>
      </w:r>
    </w:p>
    <w:p w:rsidR="00446351" w:rsidRDefault="00446351" w:rsidP="001D720A">
      <w:pPr>
        <w:pStyle w:val="ListParagraph"/>
        <w:jc w:val="both"/>
      </w:pPr>
      <w:r w:rsidRPr="004B55BE">
        <w:t>Evaluarea tehnică și financiară a unui proiect, respectiv acordarea punctajelor, se realizează exclusiv în contextul etapei de evaluare tehnică și financiară și doar în baza unei cereri de finanțare complete.</w:t>
      </w:r>
    </w:p>
    <w:p w:rsidR="00446351" w:rsidRDefault="00446351" w:rsidP="001D720A">
      <w:pPr>
        <w:pStyle w:val="ListParagraph"/>
        <w:jc w:val="both"/>
      </w:pPr>
      <w:r w:rsidRPr="00176F19">
        <w:t>Așadar, procesul de autoevaluare nu afectează, în niciun fel, procesul de verificare/evaluare/selecție a proiectelor, după cum nici nu condiționează data (sesiunea lunară) de depunere a acestora.</w:t>
      </w:r>
    </w:p>
    <w:p w:rsidR="00446351" w:rsidRPr="00A306FF" w:rsidRDefault="00446351" w:rsidP="001D720A">
      <w:pPr>
        <w:pStyle w:val="ListParagraph"/>
        <w:jc w:val="both"/>
      </w:pPr>
    </w:p>
    <w:p w:rsidR="00446351" w:rsidRPr="00446351" w:rsidRDefault="00446351" w:rsidP="001D720A">
      <w:pPr>
        <w:pStyle w:val="ListParagraph"/>
        <w:numPr>
          <w:ilvl w:val="0"/>
          <w:numId w:val="1"/>
        </w:numPr>
        <w:jc w:val="both"/>
        <w:rPr>
          <w:b/>
        </w:rPr>
      </w:pPr>
      <w:r w:rsidRPr="00446351">
        <w:rPr>
          <w:b/>
        </w:rPr>
        <w:t>Când va suspenda AMPOR depunerea proiectelor?</w:t>
      </w:r>
    </w:p>
    <w:p w:rsidR="00446351" w:rsidRDefault="00446351" w:rsidP="001D720A">
      <w:pPr>
        <w:pStyle w:val="ListParagraph"/>
        <w:jc w:val="both"/>
      </w:pPr>
      <w:r w:rsidRPr="00181FD2">
        <w:t>În funcție de numărul de proiecte depuse în primele 2 luni și de gradul de acoperire a alocării financiare disponibile, AMPOR poate lua decizia de a suspenda depunerea proiectelor, în perioada ulterioară celor 2 luni.</w:t>
      </w:r>
    </w:p>
    <w:p w:rsidR="00446351" w:rsidRDefault="00446351" w:rsidP="001D720A">
      <w:pPr>
        <w:pStyle w:val="ListParagraph"/>
        <w:jc w:val="both"/>
      </w:pPr>
    </w:p>
    <w:p w:rsidR="00446351" w:rsidRPr="00EC5C03" w:rsidRDefault="00446351" w:rsidP="001D720A">
      <w:pPr>
        <w:pStyle w:val="ListParagraph"/>
        <w:numPr>
          <w:ilvl w:val="0"/>
          <w:numId w:val="1"/>
        </w:numPr>
        <w:jc w:val="both"/>
        <w:rPr>
          <w:b/>
        </w:rPr>
      </w:pPr>
      <w:r w:rsidRPr="00EC5C03">
        <w:rPr>
          <w:b/>
        </w:rPr>
        <w:t>Punctul de lucru la care vreau să implementez proiectul se află într-un sat aparținător de un oraș. Sunt eligibil?</w:t>
      </w:r>
    </w:p>
    <w:p w:rsidR="00446351" w:rsidRDefault="00446351" w:rsidP="001D720A">
      <w:pPr>
        <w:pStyle w:val="ListParagraph"/>
        <w:jc w:val="both"/>
      </w:pPr>
      <w:r>
        <w:t>Locul de implementare a proiectului trebuie să fie localizat în mediul urban. În sensul acestui apel de proiecte, mediul urban include și satele aparținătoare de orașe.</w:t>
      </w:r>
    </w:p>
    <w:p w:rsidR="00EC5C03" w:rsidRPr="00A306FF" w:rsidRDefault="00EC5C03" w:rsidP="001D720A">
      <w:pPr>
        <w:pStyle w:val="ListParagraph"/>
        <w:jc w:val="both"/>
      </w:pPr>
    </w:p>
    <w:p w:rsidR="00446351" w:rsidRPr="00EC5C03" w:rsidRDefault="00446351" w:rsidP="001D720A">
      <w:pPr>
        <w:pStyle w:val="ListParagraph"/>
        <w:numPr>
          <w:ilvl w:val="0"/>
          <w:numId w:val="1"/>
        </w:numPr>
        <w:jc w:val="both"/>
        <w:rPr>
          <w:b/>
        </w:rPr>
      </w:pPr>
      <w:r w:rsidRPr="00EC5C03">
        <w:rPr>
          <w:b/>
        </w:rPr>
        <w:t>Vreau să achiziționez echipamente pentru mai multe puncte de lucru, situate în localități diferite, dar pe teritoriul aceleiași regiuni. Este eligibilă investiția?</w:t>
      </w:r>
    </w:p>
    <w:p w:rsidR="00446351" w:rsidRDefault="00446351" w:rsidP="001D720A">
      <w:pPr>
        <w:pStyle w:val="ListParagraph"/>
        <w:jc w:val="both"/>
      </w:pPr>
      <w:r>
        <w:t>O investiție se poate realiza la două (sau mai multe) locuri de implementare, atât timp cât sunt respectate toate condițiile de eligibilitate, iar proiectul de investiție este unul unic, respectiv nu constă, de fapt, în două (sau mai multe) investiții distincte sub umbrela unei singure cereri de finanțare.</w:t>
      </w:r>
    </w:p>
    <w:p w:rsidR="00446351" w:rsidRDefault="00446351" w:rsidP="001D720A">
      <w:pPr>
        <w:pStyle w:val="ListParagraph"/>
        <w:jc w:val="both"/>
      </w:pPr>
      <w:r>
        <w:t>Cu titlu de exemplu, modernizarea a două pensiuni (aflate în aceeași localitate sau în localități diferite) ar constitui, de fapt, două proiecte de investiție distincte, chiar dacă clasa CAEN vizată ar fi aceeași. Pe de altă parte, tot cu titlu de exemplu, modernizarea și/sau dotarea a două ateliere (localizate distinct), în care solicitantul desfășoară activități cuprinse în același flux tehnologic, poate fi considerată o investiție unică.</w:t>
      </w:r>
    </w:p>
    <w:p w:rsidR="00746413" w:rsidRDefault="00746413" w:rsidP="001D720A">
      <w:pPr>
        <w:pStyle w:val="ListParagraph"/>
        <w:jc w:val="both"/>
      </w:pPr>
    </w:p>
    <w:p w:rsidR="00EC5C03" w:rsidRDefault="00EC5C03" w:rsidP="001D720A">
      <w:pPr>
        <w:pStyle w:val="ListParagraph"/>
        <w:jc w:val="both"/>
      </w:pPr>
    </w:p>
    <w:p w:rsidR="00446351" w:rsidRPr="00EC5C03" w:rsidRDefault="00446351" w:rsidP="001D720A">
      <w:pPr>
        <w:pStyle w:val="ListParagraph"/>
        <w:numPr>
          <w:ilvl w:val="0"/>
          <w:numId w:val="1"/>
        </w:numPr>
        <w:jc w:val="both"/>
        <w:rPr>
          <w:b/>
        </w:rPr>
      </w:pPr>
      <w:r w:rsidRPr="00EC5C03">
        <w:rPr>
          <w:b/>
        </w:rPr>
        <w:t>Cum completez în MySMIS secțiunea “Buget - Natura investiției” din Cererea de finanțare?</w:t>
      </w:r>
    </w:p>
    <w:p w:rsidR="00446351" w:rsidRDefault="00446351" w:rsidP="001D720A">
      <w:pPr>
        <w:pStyle w:val="ListParagraph"/>
        <w:jc w:val="both"/>
      </w:pPr>
      <w:r>
        <w:t>La secțiunea “Buget - Natura investiției” din Cererea de finanțare, alegeți din variantele aplicabile acestui apel de proiecte, astfel:</w:t>
      </w:r>
    </w:p>
    <w:p w:rsidR="00446351" w:rsidRDefault="00446351" w:rsidP="001D720A">
      <w:pPr>
        <w:pStyle w:val="ListParagraph"/>
        <w:jc w:val="both"/>
      </w:pPr>
      <w:r>
        <w:t>”1 – Construcție nouă” pentru proiectele care conțin lucrări de realizare a unei construcții noi</w:t>
      </w:r>
    </w:p>
    <w:p w:rsidR="00446351" w:rsidRDefault="00446351" w:rsidP="001D720A">
      <w:pPr>
        <w:pStyle w:val="ListParagraph"/>
        <w:jc w:val="both"/>
      </w:pPr>
      <w:r>
        <w:t>”2 – Extindere” pentru proiectele care conțin lucrări de extindere a unei construcții existente</w:t>
      </w:r>
    </w:p>
    <w:p w:rsidR="00446351" w:rsidRDefault="00446351" w:rsidP="001D720A">
      <w:pPr>
        <w:pStyle w:val="ListParagraph"/>
        <w:jc w:val="both"/>
      </w:pPr>
      <w:r>
        <w:t>”3 – Transformare/ Modernizare” pentru proiectele care conțin lucrări de modernizare a unei construcții existente și/sau achiziții de active corporale și/sau necorporale și/sau realizarea de instrumente de comercializare on-line</w:t>
      </w:r>
    </w:p>
    <w:p w:rsidR="005C1D37" w:rsidRDefault="005C1D37" w:rsidP="001D720A">
      <w:pPr>
        <w:pStyle w:val="ListParagraph"/>
        <w:jc w:val="both"/>
      </w:pPr>
    </w:p>
    <w:p w:rsidR="00446351" w:rsidRPr="00870247" w:rsidRDefault="00446351" w:rsidP="001D720A">
      <w:pPr>
        <w:pStyle w:val="ListParagraph"/>
        <w:numPr>
          <w:ilvl w:val="0"/>
          <w:numId w:val="1"/>
        </w:numPr>
        <w:jc w:val="both"/>
        <w:rPr>
          <w:b/>
        </w:rPr>
      </w:pPr>
      <w:r w:rsidRPr="00870247">
        <w:rPr>
          <w:b/>
        </w:rPr>
        <w:t>Mai trebuie să semnez fizic fiecare pagină a cererii de finanțare?</w:t>
      </w:r>
    </w:p>
    <w:p w:rsidR="00446351" w:rsidRDefault="00446351" w:rsidP="001D720A">
      <w:pPr>
        <w:pStyle w:val="ListParagraph"/>
        <w:jc w:val="both"/>
      </w:pPr>
      <w:r w:rsidRPr="005F64EF">
        <w:t>Nu este necesară semnarea olografă</w:t>
      </w:r>
      <w:r>
        <w:t xml:space="preserve"> (fizică)</w:t>
      </w:r>
      <w:r w:rsidRPr="005F64EF">
        <w:t xml:space="preserve"> ori ștampilarea documentelor anexate la cererea de finanțare. Toate fișierele încărcate în MySMIS, în format pdf, vor fi în prealabil semnate digital.</w:t>
      </w:r>
    </w:p>
    <w:p w:rsidR="005C1D37" w:rsidRPr="005F64EF" w:rsidRDefault="005C1D37" w:rsidP="001D720A">
      <w:pPr>
        <w:pStyle w:val="ListParagraph"/>
        <w:jc w:val="both"/>
      </w:pPr>
    </w:p>
    <w:p w:rsidR="00446351" w:rsidRPr="00870247" w:rsidRDefault="00446351" w:rsidP="001D720A">
      <w:pPr>
        <w:pStyle w:val="ListParagraph"/>
        <w:numPr>
          <w:ilvl w:val="0"/>
          <w:numId w:val="1"/>
        </w:numPr>
        <w:jc w:val="both"/>
        <w:rPr>
          <w:b/>
        </w:rPr>
      </w:pPr>
      <w:r w:rsidRPr="00870247">
        <w:rPr>
          <w:b/>
        </w:rPr>
        <w:t>Mai trebuie să aplic mențiunea ”Conform cu originalul” pe vreuna din anexe?</w:t>
      </w:r>
    </w:p>
    <w:p w:rsidR="00446351" w:rsidRDefault="00446351" w:rsidP="001D720A">
      <w:pPr>
        <w:pStyle w:val="ListParagraph"/>
        <w:jc w:val="both"/>
      </w:pPr>
      <w:r w:rsidRPr="005F64EF">
        <w:t>Nu este necesară mențiunea conform cu originalul pe documentele scanate și încărcate în MySMIS (cum ar fi documentele statutare, documentele cadastrale etc).</w:t>
      </w:r>
    </w:p>
    <w:p w:rsidR="005C1D37" w:rsidRPr="005F64EF" w:rsidRDefault="005C1D37" w:rsidP="001D720A">
      <w:pPr>
        <w:pStyle w:val="ListParagraph"/>
        <w:jc w:val="both"/>
      </w:pPr>
    </w:p>
    <w:p w:rsidR="00446351" w:rsidRPr="00870247" w:rsidRDefault="00446351" w:rsidP="001D720A">
      <w:pPr>
        <w:pStyle w:val="ListParagraph"/>
        <w:numPr>
          <w:ilvl w:val="0"/>
          <w:numId w:val="1"/>
        </w:numPr>
        <w:jc w:val="both"/>
        <w:rPr>
          <w:b/>
        </w:rPr>
      </w:pPr>
      <w:r w:rsidRPr="00870247">
        <w:rPr>
          <w:b/>
        </w:rPr>
        <w:t>Conform normelor contabile, mă încadrez în categoria ”microentități”. Mai trebuie să depun la cererea de finanațare Notele explicative?</w:t>
      </w:r>
    </w:p>
    <w:p w:rsidR="00446351" w:rsidRDefault="00446351" w:rsidP="001D720A">
      <w:pPr>
        <w:pStyle w:val="ListParagraph"/>
        <w:jc w:val="both"/>
      </w:pPr>
      <w:r>
        <w:t>Conform normelor contabile (OMFP 1.802/2014), m</w:t>
      </w:r>
      <w:r w:rsidRPr="005F64EF">
        <w:t>icroentităţile nu au obligaţia elaborării notelor explicative la situaţiile financiare anuale prevăzute la pct. 468 şi 469 din ordin. Conform alin. (2) al punctului 576, microentităţile prezintă informaţiile prevăzute la pct. 468 lit. a), d) şi e) şi pct. 491 alin. (2) lit. c). De vazut si cap. 12 «Dispoziţii privind scutirile şi restricţiile aplicabile scutirilor», secţiunea 12.1  Scutiri pentru microentităţi</w:t>
      </w:r>
    </w:p>
    <w:p w:rsidR="00446351" w:rsidRDefault="00446351" w:rsidP="001D720A">
      <w:pPr>
        <w:pStyle w:val="ListParagraph"/>
        <w:jc w:val="both"/>
      </w:pPr>
      <w:r>
        <w:t>Solicitanții care se încadrează în categoria Microentități vor depune acele note explicative care li se impun, conform normelor contabile în vigoare.</w:t>
      </w:r>
    </w:p>
    <w:p w:rsidR="005C1D37" w:rsidRDefault="005C1D37" w:rsidP="001D720A">
      <w:pPr>
        <w:pStyle w:val="ListParagraph"/>
        <w:jc w:val="both"/>
      </w:pPr>
    </w:p>
    <w:p w:rsidR="00446351" w:rsidRPr="00CE648F" w:rsidRDefault="00446351" w:rsidP="001D720A">
      <w:pPr>
        <w:pStyle w:val="ListParagraph"/>
        <w:numPr>
          <w:ilvl w:val="0"/>
          <w:numId w:val="1"/>
        </w:numPr>
        <w:jc w:val="both"/>
        <w:rPr>
          <w:b/>
        </w:rPr>
      </w:pPr>
      <w:r w:rsidRPr="00CE648F">
        <w:rPr>
          <w:b/>
        </w:rPr>
        <w:t>Certificatul de urbanism trebuie să fie emis în scopul obţinerii autorizaţiei de construire?</w:t>
      </w:r>
    </w:p>
    <w:p w:rsidR="00446351" w:rsidRDefault="00446351" w:rsidP="001D720A">
      <w:pPr>
        <w:pStyle w:val="ListParagraph"/>
        <w:jc w:val="both"/>
      </w:pPr>
      <w:r>
        <w:t xml:space="preserve">În conformitate cu prevederile Art 2, alin (2^1) din Legea 50/1991 privind autorizarea executării lucrărilor de construcţii, cu modificările și completările ulterioare, procedura de autorizare a executării lucrărilor de construcţii începe odată cu depunerea cererii pentru emiterea certificatului de urbanism în scopul obţinerii, ca act final, a autorizaţiei de construire. </w:t>
      </w:r>
    </w:p>
    <w:p w:rsidR="00446351" w:rsidRDefault="00446351" w:rsidP="001D720A">
      <w:pPr>
        <w:pStyle w:val="ListParagraph"/>
        <w:jc w:val="both"/>
      </w:pPr>
      <w:r>
        <w:t>În acest sens, pentru proiectele ce includ lucrări de construcție care se supun autorizării, este necesară prezentarea unui certificat de urbanism emis în scopul autorizării acestor lucrări.</w:t>
      </w:r>
    </w:p>
    <w:p w:rsidR="005C1D37" w:rsidRDefault="005C1D37" w:rsidP="001D720A">
      <w:pPr>
        <w:pStyle w:val="ListParagraph"/>
        <w:jc w:val="both"/>
      </w:pPr>
    </w:p>
    <w:p w:rsidR="00446351" w:rsidRPr="00953B8C" w:rsidRDefault="00446351" w:rsidP="001D720A">
      <w:pPr>
        <w:pStyle w:val="ListParagraph"/>
        <w:numPr>
          <w:ilvl w:val="0"/>
          <w:numId w:val="1"/>
        </w:numPr>
        <w:jc w:val="both"/>
        <w:rPr>
          <w:b/>
        </w:rPr>
      </w:pPr>
      <w:r w:rsidRPr="00953B8C">
        <w:rPr>
          <w:b/>
        </w:rPr>
        <w:t>Dovada capacității financiare trebuie să acopere întreaga valoare a proiectului?</w:t>
      </w:r>
    </w:p>
    <w:p w:rsidR="00446351" w:rsidRDefault="00446351" w:rsidP="001D720A">
      <w:pPr>
        <w:pStyle w:val="ListParagraph"/>
        <w:jc w:val="both"/>
      </w:pPr>
      <w:r w:rsidRPr="00B23FA5">
        <w:t>Dovada capacității financiare trebuie să acopere cel pu</w:t>
      </w:r>
      <w:r w:rsidR="00F34793">
        <w:t>ț</w:t>
      </w:r>
      <w:r w:rsidRPr="00B23FA5">
        <w:t>in valoarea contribuției totale a solicitantului (contribuția la valoarea eligibilă și valoarea cheltuielilor neeligibile)</w:t>
      </w:r>
    </w:p>
    <w:p w:rsidR="005C1D37" w:rsidRDefault="005C1D37" w:rsidP="001D720A">
      <w:pPr>
        <w:pStyle w:val="ListParagraph"/>
        <w:jc w:val="both"/>
      </w:pPr>
    </w:p>
    <w:p w:rsidR="006C70FA" w:rsidRDefault="006C70FA">
      <w:pPr>
        <w:rPr>
          <w:b/>
        </w:rPr>
      </w:pPr>
      <w:r>
        <w:rPr>
          <w:b/>
        </w:rPr>
        <w:br w:type="page"/>
      </w:r>
    </w:p>
    <w:p w:rsidR="00446351" w:rsidRPr="00953B8C" w:rsidRDefault="00446351" w:rsidP="001D720A">
      <w:pPr>
        <w:pStyle w:val="ListParagraph"/>
        <w:numPr>
          <w:ilvl w:val="0"/>
          <w:numId w:val="1"/>
        </w:numPr>
        <w:jc w:val="both"/>
        <w:rPr>
          <w:b/>
        </w:rPr>
      </w:pPr>
      <w:r w:rsidRPr="00953B8C">
        <w:rPr>
          <w:b/>
        </w:rPr>
        <w:t>Pot prezenta ca dovadă a capacității financiare Scrisoare de confort angajantă eliberată de o instituție bancară?</w:t>
      </w:r>
    </w:p>
    <w:p w:rsidR="00446351" w:rsidRDefault="00446351" w:rsidP="001D720A">
      <w:pPr>
        <w:pStyle w:val="ListParagraph"/>
        <w:jc w:val="both"/>
      </w:pPr>
      <w:r>
        <w:t>Nu.</w:t>
      </w:r>
    </w:p>
    <w:p w:rsidR="005C1D37" w:rsidRPr="00B23FA5" w:rsidRDefault="005C1D37" w:rsidP="001D720A">
      <w:pPr>
        <w:pStyle w:val="ListParagraph"/>
        <w:jc w:val="both"/>
      </w:pPr>
    </w:p>
    <w:p w:rsidR="00446351" w:rsidRPr="00953B8C" w:rsidRDefault="00446351" w:rsidP="001D720A">
      <w:pPr>
        <w:pStyle w:val="ListParagraph"/>
        <w:numPr>
          <w:ilvl w:val="0"/>
          <w:numId w:val="1"/>
        </w:numPr>
        <w:jc w:val="both"/>
        <w:rPr>
          <w:b/>
        </w:rPr>
      </w:pPr>
      <w:r w:rsidRPr="00953B8C">
        <w:rPr>
          <w:b/>
        </w:rPr>
        <w:t>În Macheta Analiza și previziunea financiară (sheet-urile 3A, 3B, 4), dacă perioada de implementare a proiectului este de 1 an, care este primul an aferent operării investiției? Anul 2 sau anul 5?</w:t>
      </w:r>
    </w:p>
    <w:p w:rsidR="00446351" w:rsidRDefault="00446351" w:rsidP="001D720A">
      <w:pPr>
        <w:pStyle w:val="ListParagraph"/>
        <w:jc w:val="both"/>
      </w:pPr>
      <w:r>
        <w:t>Se completează Anul 1 cu datele aferente investiției (implementarea) și apoi, începând cu anul 2, datele aferente operării.</w:t>
      </w:r>
      <w:r w:rsidR="00953B8C">
        <w:t xml:space="preserve"> </w:t>
      </w:r>
      <w:r>
        <w:t>Datele se vor introduce pentru toți cei 10 ani, indiferent de perioada de implementare.</w:t>
      </w:r>
    </w:p>
    <w:p w:rsidR="005C1D37" w:rsidRPr="00B23FA5" w:rsidRDefault="005C1D37" w:rsidP="001D720A">
      <w:pPr>
        <w:pStyle w:val="ListParagraph"/>
        <w:jc w:val="both"/>
      </w:pPr>
    </w:p>
    <w:p w:rsidR="00446351" w:rsidRPr="00953B8C" w:rsidRDefault="00446351" w:rsidP="001D720A">
      <w:pPr>
        <w:pStyle w:val="ListParagraph"/>
        <w:numPr>
          <w:ilvl w:val="0"/>
          <w:numId w:val="1"/>
        </w:numPr>
        <w:jc w:val="both"/>
        <w:rPr>
          <w:b/>
        </w:rPr>
      </w:pPr>
      <w:r w:rsidRPr="00953B8C">
        <w:rPr>
          <w:b/>
        </w:rPr>
        <w:t>Dețin dreptul de folosință asupra locului de implementare a proiectului printr-un contract de comodat. Trebuie să autentific la notar acest contract?</w:t>
      </w:r>
    </w:p>
    <w:p w:rsidR="00446351" w:rsidRDefault="00446351" w:rsidP="001D720A">
      <w:pPr>
        <w:pStyle w:val="ListParagraph"/>
        <w:jc w:val="both"/>
      </w:pPr>
      <w:r>
        <w:t>Nu, dacă normele care guvernează încheierea respectivului contract nu impun acest lucru.</w:t>
      </w:r>
    </w:p>
    <w:p w:rsidR="005C1D37" w:rsidRDefault="005C1D37" w:rsidP="001D720A">
      <w:pPr>
        <w:pStyle w:val="ListParagraph"/>
        <w:jc w:val="both"/>
      </w:pPr>
    </w:p>
    <w:p w:rsidR="00446351" w:rsidRPr="00953B8C" w:rsidRDefault="00446351" w:rsidP="001D720A">
      <w:pPr>
        <w:pStyle w:val="ListParagraph"/>
        <w:numPr>
          <w:ilvl w:val="0"/>
          <w:numId w:val="1"/>
        </w:numPr>
        <w:jc w:val="both"/>
        <w:rPr>
          <w:b/>
        </w:rPr>
      </w:pPr>
      <w:r w:rsidRPr="00953B8C">
        <w:rPr>
          <w:b/>
        </w:rPr>
        <w:t>Dacă obțin 0 puncte la un subcriteriu, proiectul va fi respins?</w:t>
      </w:r>
    </w:p>
    <w:p w:rsidR="00446351" w:rsidRDefault="00446351" w:rsidP="001D720A">
      <w:pPr>
        <w:pStyle w:val="ListParagraph"/>
        <w:jc w:val="both"/>
      </w:pPr>
      <w:r>
        <w:t>Punctarea cu zero la oricare subcriteriu nu conduce la respingerea proiectului.</w:t>
      </w:r>
    </w:p>
    <w:p w:rsidR="005C1D37" w:rsidRDefault="005C1D37" w:rsidP="001D720A">
      <w:pPr>
        <w:pStyle w:val="ListParagraph"/>
        <w:jc w:val="both"/>
      </w:pPr>
    </w:p>
    <w:p w:rsidR="00446351" w:rsidRPr="00FC6D2F" w:rsidRDefault="00446351" w:rsidP="001D720A">
      <w:pPr>
        <w:pStyle w:val="ListParagraph"/>
        <w:numPr>
          <w:ilvl w:val="0"/>
          <w:numId w:val="1"/>
        </w:numPr>
        <w:jc w:val="both"/>
        <w:rPr>
          <w:b/>
        </w:rPr>
      </w:pPr>
      <w:r w:rsidRPr="00FC6D2F">
        <w:rPr>
          <w:b/>
        </w:rPr>
        <w:t>Dacă sunt întreprindere legată cu o altă firmă (și formăm, astfel, o întreprindere unică), se va lua în considerare cifra de afaceri cumulată la punctarea subcriteriului 2.5.?</w:t>
      </w:r>
    </w:p>
    <w:p w:rsidR="00446351" w:rsidRDefault="00446351" w:rsidP="001D720A">
      <w:pPr>
        <w:pStyle w:val="ListParagraph"/>
        <w:jc w:val="both"/>
      </w:pPr>
      <w:r>
        <w:t xml:space="preserve">Datele analizate în contextul subcriteriului de evaluare 2.5. sunt doar cele </w:t>
      </w:r>
      <w:r w:rsidRPr="00090A86">
        <w:t>înregistrate de entitatea solicitantă</w:t>
      </w:r>
      <w:r>
        <w:t>, nu la nivel de întreprindere unică</w:t>
      </w:r>
      <w:r w:rsidRPr="00090A86">
        <w:t xml:space="preserve">. </w:t>
      </w:r>
    </w:p>
    <w:p w:rsidR="00446351" w:rsidRDefault="00446351" w:rsidP="001D720A">
      <w:pPr>
        <w:pStyle w:val="ListParagraph"/>
        <w:jc w:val="both"/>
      </w:pPr>
      <w:r w:rsidRPr="00090A86">
        <w:t>Conceptul de ”întreprindere unică” este utilizat doar în ceea ce privește cumulul ajutoarelor de minimis primite de entitatea solicitantă și întreprinderile legate de aceasta (cu care formează o întreprindere unică, în sensul Regulamentului CE 1407/2013).</w:t>
      </w:r>
    </w:p>
    <w:p w:rsidR="005C1D37" w:rsidRDefault="005C1D37" w:rsidP="001D720A">
      <w:pPr>
        <w:pStyle w:val="ListParagraph"/>
        <w:jc w:val="both"/>
      </w:pPr>
    </w:p>
    <w:p w:rsidR="00446351" w:rsidRPr="00FC6D2F" w:rsidRDefault="00446351" w:rsidP="001D720A">
      <w:pPr>
        <w:pStyle w:val="ListParagraph"/>
        <w:numPr>
          <w:ilvl w:val="0"/>
          <w:numId w:val="1"/>
        </w:numPr>
        <w:jc w:val="both"/>
        <w:rPr>
          <w:b/>
        </w:rPr>
      </w:pPr>
      <w:r w:rsidRPr="00FC6D2F">
        <w:rPr>
          <w:b/>
        </w:rPr>
        <w:t>La subcritreriile 2.1, 2.2, 2.5, se analizează datele înregistrate în ultimul an fiscal, înainte de depunerea proiectului, sau se face o medie pe ultimii 3 ani?</w:t>
      </w:r>
    </w:p>
    <w:p w:rsidR="00446351" w:rsidRDefault="00446351" w:rsidP="001D720A">
      <w:pPr>
        <w:pStyle w:val="ListParagraph"/>
        <w:jc w:val="both"/>
      </w:pPr>
      <w:r>
        <w:t>T</w:t>
      </w:r>
      <w:r w:rsidRPr="00090A86">
        <w:t xml:space="preserve">oți indicatorii analizați (rata rentabilității, rata solvabilității, cifra de afaceri) se raportează </w:t>
      </w:r>
      <w:r>
        <w:t>la datele înregistrate în anul fiscal anterior depunerii cererii de finanțare.</w:t>
      </w:r>
    </w:p>
    <w:p w:rsidR="005C1D37" w:rsidRDefault="005C1D37" w:rsidP="001D720A">
      <w:pPr>
        <w:pStyle w:val="ListParagraph"/>
        <w:jc w:val="both"/>
      </w:pPr>
    </w:p>
    <w:p w:rsidR="00446351" w:rsidRPr="00FC6D2F" w:rsidRDefault="00446351" w:rsidP="001D720A">
      <w:pPr>
        <w:pStyle w:val="ListParagraph"/>
        <w:numPr>
          <w:ilvl w:val="0"/>
          <w:numId w:val="1"/>
        </w:numPr>
        <w:jc w:val="both"/>
        <w:rPr>
          <w:b/>
        </w:rPr>
      </w:pPr>
      <w:r w:rsidRPr="00FC6D2F">
        <w:rPr>
          <w:b/>
        </w:rPr>
        <w:t>Cum se calculează punctajul la subcritreriul 2.3?</w:t>
      </w:r>
    </w:p>
    <w:p w:rsidR="00446351" w:rsidRDefault="00446351" w:rsidP="001D720A">
      <w:pPr>
        <w:pStyle w:val="ListParagraph"/>
        <w:jc w:val="both"/>
      </w:pPr>
      <w:r>
        <w:t>Pentru fiecare punct procentual (rotunjit la un număr întreg), peste limita minimă obligatorie de 10%, se acordă câte 1 punct, în limita a 10 puncte.</w:t>
      </w:r>
    </w:p>
    <w:p w:rsidR="00446351" w:rsidRDefault="00446351" w:rsidP="001D720A">
      <w:pPr>
        <w:pStyle w:val="ListParagraph"/>
        <w:jc w:val="both"/>
      </w:pPr>
      <w:r>
        <w:t>Rotunjirea se face la unități. Ex: 13,5</w:t>
      </w:r>
      <w:r w:rsidR="00F34793">
        <w:t>0</w:t>
      </w:r>
      <w:r>
        <w:t>% se rotunjeste la 14%. 10,49% se rotunjeste la 10%.</w:t>
      </w:r>
    </w:p>
    <w:p w:rsidR="005C1D37" w:rsidRDefault="005C1D37" w:rsidP="001D720A">
      <w:pPr>
        <w:pStyle w:val="ListParagraph"/>
        <w:jc w:val="both"/>
      </w:pPr>
    </w:p>
    <w:p w:rsidR="00446351" w:rsidRPr="00FC6D2F" w:rsidRDefault="00446351" w:rsidP="001D720A">
      <w:pPr>
        <w:pStyle w:val="ListParagraph"/>
        <w:numPr>
          <w:ilvl w:val="0"/>
          <w:numId w:val="1"/>
        </w:numPr>
        <w:jc w:val="both"/>
        <w:rPr>
          <w:b/>
        </w:rPr>
      </w:pPr>
      <w:r w:rsidRPr="00FC6D2F">
        <w:rPr>
          <w:b/>
        </w:rPr>
        <w:t xml:space="preserve">Referitor la subcritreriul 2.6, trebuie să prezint 3 oferte de preț inclusiv pentru costurile cu lucrările de construcție? </w:t>
      </w:r>
    </w:p>
    <w:p w:rsidR="00446351" w:rsidRDefault="00446351" w:rsidP="001D720A">
      <w:pPr>
        <w:pStyle w:val="ListParagraph"/>
        <w:jc w:val="both"/>
      </w:pPr>
      <w:r>
        <w:t>În cazul costurilor cu lucrări de construcție, fundamentarea se poate realiza în baza devizului și a listelor de cantități.</w:t>
      </w:r>
    </w:p>
    <w:p w:rsidR="005C1D37" w:rsidRDefault="005C1D37" w:rsidP="001D720A">
      <w:pPr>
        <w:pStyle w:val="ListParagraph"/>
        <w:jc w:val="both"/>
      </w:pPr>
    </w:p>
    <w:p w:rsidR="00446351" w:rsidRPr="00FC6D2F" w:rsidRDefault="00446351" w:rsidP="001D720A">
      <w:pPr>
        <w:pStyle w:val="ListParagraph"/>
        <w:numPr>
          <w:ilvl w:val="0"/>
          <w:numId w:val="1"/>
        </w:numPr>
        <w:jc w:val="both"/>
        <w:rPr>
          <w:b/>
        </w:rPr>
      </w:pPr>
      <w:r w:rsidRPr="00FC6D2F">
        <w:rPr>
          <w:b/>
        </w:rPr>
        <w:t>Referitor la subcritreriul 2.6, este obligatoriu să anexez, la cererea de finanțare, 3 oferte de preț?</w:t>
      </w:r>
    </w:p>
    <w:p w:rsidR="00446351" w:rsidRDefault="00446351" w:rsidP="001D720A">
      <w:pPr>
        <w:pStyle w:val="ListParagraph"/>
        <w:jc w:val="both"/>
      </w:pPr>
      <w:r>
        <w:t xml:space="preserve">În </w:t>
      </w:r>
      <w:r w:rsidR="00D46336">
        <w:t>contextul</w:t>
      </w:r>
      <w:r>
        <w:t xml:space="preserve"> subcriteriului de evaluare 2.6, n</w:t>
      </w:r>
      <w:r w:rsidRPr="00154838">
        <w:t xml:space="preserve">u </w:t>
      </w:r>
      <w:r>
        <w:t>este obligatorie prezentarea a</w:t>
      </w:r>
      <w:r w:rsidRPr="00154838">
        <w:t xml:space="preserve"> 3 oferte de preț, ci utilizarea a cel puțin 3 surse.</w:t>
      </w:r>
      <w:r>
        <w:t xml:space="preserve"> Oferta de preț poate fi una dintre aceste surse.</w:t>
      </w:r>
    </w:p>
    <w:p w:rsidR="005C1D37" w:rsidRPr="00154838" w:rsidRDefault="005C1D37" w:rsidP="001D720A">
      <w:pPr>
        <w:pStyle w:val="ListParagraph"/>
        <w:jc w:val="both"/>
      </w:pPr>
    </w:p>
    <w:p w:rsidR="00446351" w:rsidRPr="00FC6D2F" w:rsidRDefault="00446351" w:rsidP="001D720A">
      <w:pPr>
        <w:pStyle w:val="ListParagraph"/>
        <w:numPr>
          <w:ilvl w:val="0"/>
          <w:numId w:val="1"/>
        </w:numPr>
        <w:jc w:val="both"/>
        <w:rPr>
          <w:b/>
        </w:rPr>
      </w:pPr>
      <w:r w:rsidRPr="00FC6D2F">
        <w:rPr>
          <w:b/>
        </w:rPr>
        <w:t>Referitor la Subcriteriul 2.8 din grila ETF, unde se regăsește fluxul de numerar net cumulat, în Macheta Analiza și previziunea financiară?</w:t>
      </w:r>
    </w:p>
    <w:p w:rsidR="00446351" w:rsidRDefault="00446351" w:rsidP="001D720A">
      <w:pPr>
        <w:pStyle w:val="ListParagraph"/>
        <w:jc w:val="both"/>
      </w:pPr>
      <w:r w:rsidRPr="00154838">
        <w:t>Fluxul de numerar net cumulat al microintreprinderii (relevant pentru subcriteriul de evaluare tehnică și financiară 2.8) este calculat în cadrul foii de lucru 4-Proiectii financiare intreprindere, din Macheta Analiza si previziunea financiară, la linia 96 din Tabelul 1 (”Flux de lichidități net al perioadei”).</w:t>
      </w:r>
    </w:p>
    <w:p w:rsidR="005C1D37" w:rsidRDefault="005C1D37" w:rsidP="001D720A">
      <w:pPr>
        <w:pStyle w:val="ListParagraph"/>
        <w:jc w:val="both"/>
      </w:pPr>
    </w:p>
    <w:p w:rsidR="00446351" w:rsidRPr="00FC6D2F" w:rsidRDefault="00446351" w:rsidP="001D720A">
      <w:pPr>
        <w:pStyle w:val="ListParagraph"/>
        <w:numPr>
          <w:ilvl w:val="0"/>
          <w:numId w:val="1"/>
        </w:numPr>
        <w:jc w:val="both"/>
        <w:rPr>
          <w:b/>
        </w:rPr>
      </w:pPr>
      <w:r w:rsidRPr="00FC6D2F">
        <w:rPr>
          <w:b/>
        </w:rPr>
        <w:t>Referitor la ”Certificatul constatator în forma extinsă, emis de Oficiul Registrului Comerţului”, se acceptă și certificatele emise prin serviciul online InfoCert?</w:t>
      </w:r>
    </w:p>
    <w:p w:rsidR="00446351" w:rsidRDefault="00446351" w:rsidP="001D720A">
      <w:pPr>
        <w:pStyle w:val="ListParagraph"/>
        <w:jc w:val="both"/>
      </w:pPr>
      <w:r>
        <w:t xml:space="preserve">Da. </w:t>
      </w:r>
      <w:r w:rsidRPr="00D45C8B">
        <w:t xml:space="preserve">În sensul condițiilor privind completarea cererii de finanțare, aplicabile apelului 2.1.A-Microîntreprinderi, anexarea documentelor </w:t>
      </w:r>
      <w:r w:rsidRPr="00446351">
        <w:t xml:space="preserve">”Certificat constatator fonduri IMM” </w:t>
      </w:r>
      <w:r w:rsidR="00B41A0F">
        <w:t>sau</w:t>
      </w:r>
      <w:r w:rsidR="00132369">
        <w:t xml:space="preserve"> </w:t>
      </w:r>
      <w:r w:rsidRPr="00446351">
        <w:t>”Certificat constatator de bază”,</w:t>
      </w:r>
      <w:r w:rsidRPr="00D45C8B">
        <w:t xml:space="preserve"> </w:t>
      </w:r>
      <w:r w:rsidRPr="00446351">
        <w:t>împreună cu</w:t>
      </w:r>
      <w:r w:rsidRPr="00D45C8B">
        <w:t xml:space="preserve"> ”Furnizare informații extinse”, emise </w:t>
      </w:r>
      <w:r>
        <w:t xml:space="preserve">furnizate </w:t>
      </w:r>
      <w:r w:rsidRPr="00D45C8B">
        <w:t>online de către ONRC</w:t>
      </w:r>
      <w:r>
        <w:t>, prin serviciul InfoCert</w:t>
      </w:r>
      <w:r w:rsidRPr="00D45C8B">
        <w:t>, pot fi considerate conforme cu cerințele din ghidul solicitantului referitoare la depunerea certificatului constatator în formă extinsă.</w:t>
      </w:r>
    </w:p>
    <w:p w:rsidR="005C1D37" w:rsidRPr="00D06AB6" w:rsidRDefault="005C1D37" w:rsidP="001D720A">
      <w:pPr>
        <w:pStyle w:val="ListParagraph"/>
        <w:jc w:val="both"/>
      </w:pPr>
    </w:p>
    <w:p w:rsidR="00446351" w:rsidRPr="00FC6D2F" w:rsidRDefault="00446351" w:rsidP="001D720A">
      <w:pPr>
        <w:pStyle w:val="ListParagraph"/>
        <w:numPr>
          <w:ilvl w:val="0"/>
          <w:numId w:val="1"/>
        </w:numPr>
        <w:jc w:val="both"/>
        <w:rPr>
          <w:b/>
        </w:rPr>
      </w:pPr>
      <w:r w:rsidRPr="00FC6D2F">
        <w:rPr>
          <w:b/>
        </w:rPr>
        <w:t>Cheltuielile cu transportul și/sau asigurarea bunurilor achiziționate prin proiect sunt eligibile?</w:t>
      </w:r>
    </w:p>
    <w:p w:rsidR="00446351" w:rsidRDefault="00446351" w:rsidP="001D720A">
      <w:pPr>
        <w:pStyle w:val="ListParagraph"/>
        <w:jc w:val="both"/>
      </w:pPr>
      <w:r>
        <w:t>Nu.</w:t>
      </w:r>
    </w:p>
    <w:p w:rsidR="005C1D37" w:rsidRDefault="005C1D37" w:rsidP="001D720A">
      <w:pPr>
        <w:pStyle w:val="ListParagraph"/>
        <w:jc w:val="both"/>
      </w:pPr>
    </w:p>
    <w:p w:rsidR="00446351" w:rsidRPr="00FC6D2F" w:rsidRDefault="00446351" w:rsidP="001D720A">
      <w:pPr>
        <w:pStyle w:val="ListParagraph"/>
        <w:numPr>
          <w:ilvl w:val="0"/>
          <w:numId w:val="1"/>
        </w:numPr>
        <w:jc w:val="both"/>
        <w:rPr>
          <w:b/>
        </w:rPr>
      </w:pPr>
      <w:r w:rsidRPr="00FC6D2F">
        <w:rPr>
          <w:b/>
        </w:rPr>
        <w:t>La ce curs trebuie să transform ofertele de preț (primite în altă monedă decât RON), folosite pentru fundamentarea bugetului proiectului?</w:t>
      </w:r>
    </w:p>
    <w:p w:rsidR="00446351" w:rsidRDefault="00446351" w:rsidP="001D720A">
      <w:pPr>
        <w:pStyle w:val="ListParagraph"/>
        <w:jc w:val="both"/>
      </w:pPr>
      <w:r w:rsidRPr="00903A2D">
        <w:t>Bugetul proiectului se întocmește exclusiv în lei. În fundamentarea costurilor investiției, solicitantul poate face uz inclusiv de oferte de preț care sunt întocmite în alte monede. Condițiile de accesare a finanțării în cadrul acestui apel de proiecte nu fac referire la un curs de schimb obligatoriu pentru conversia în lei a ofertelor de preț. Este recomandabilă, totuși, utilizarea unor rate de schimb recunoscute (</w:t>
      </w:r>
      <w:r w:rsidR="000919FF">
        <w:t>spre ex.</w:t>
      </w:r>
      <w:r w:rsidRPr="00903A2D">
        <w:t xml:space="preserve"> BNR, Inforeuro), valabile la întocmirea/depunerii cererii de finanțare, pentru o mai mare acuratețe.</w:t>
      </w:r>
    </w:p>
    <w:p w:rsidR="005C1D37" w:rsidRDefault="005C1D37" w:rsidP="001D720A">
      <w:pPr>
        <w:pStyle w:val="ListParagraph"/>
        <w:jc w:val="both"/>
      </w:pPr>
    </w:p>
    <w:p w:rsidR="00446351" w:rsidRPr="00FC6D2F" w:rsidRDefault="00446351" w:rsidP="001D720A">
      <w:pPr>
        <w:pStyle w:val="ListParagraph"/>
        <w:numPr>
          <w:ilvl w:val="0"/>
          <w:numId w:val="1"/>
        </w:numPr>
        <w:jc w:val="both"/>
        <w:rPr>
          <w:b/>
        </w:rPr>
      </w:pPr>
      <w:r w:rsidRPr="00FC6D2F">
        <w:rPr>
          <w:b/>
        </w:rPr>
        <w:t>Sunt eligibile cheltuielile cu activitățile de marketing aferente investiției?</w:t>
      </w:r>
    </w:p>
    <w:p w:rsidR="00446351" w:rsidRDefault="00446351" w:rsidP="001D720A">
      <w:pPr>
        <w:pStyle w:val="ListParagraph"/>
        <w:jc w:val="both"/>
      </w:pPr>
      <w:r w:rsidRPr="004B55BE">
        <w:t>Cheltuielile aferente activităților de marketing sunt neeligibile în cadrul acestui apel de proiecte. Activitățile de marketing, deși nu sunt obligatorii în sensul condițiilor de acordare a finanțării, sunt necesare în contextul elaborării unui plan de afaceri și exploatării în condiții de eficiență a unei investiții. De asemenea, ele contribuie la fundamentarea planului de afaceri, a strategiei de marketing și a obiectivelor investiției propuse.</w:t>
      </w:r>
    </w:p>
    <w:p w:rsidR="005C1D37" w:rsidRDefault="005C1D37" w:rsidP="001D720A">
      <w:pPr>
        <w:pStyle w:val="ListParagraph"/>
        <w:jc w:val="both"/>
      </w:pPr>
    </w:p>
    <w:p w:rsidR="00446351" w:rsidRPr="00FC6D2F" w:rsidRDefault="00446351" w:rsidP="001D720A">
      <w:pPr>
        <w:pStyle w:val="ListParagraph"/>
        <w:numPr>
          <w:ilvl w:val="0"/>
          <w:numId w:val="1"/>
        </w:numPr>
        <w:jc w:val="both"/>
        <w:rPr>
          <w:b/>
        </w:rPr>
      </w:pPr>
      <w:r w:rsidRPr="00FC6D2F">
        <w:rPr>
          <w:b/>
        </w:rPr>
        <w:t>Forma consolidată a actului constitutiv trebuie să cuprindă toate modificările efectuate de la înființarea firmei?</w:t>
      </w:r>
    </w:p>
    <w:p w:rsidR="00446351" w:rsidRDefault="00446351" w:rsidP="001D720A">
      <w:pPr>
        <w:pStyle w:val="ListParagraph"/>
        <w:jc w:val="both"/>
      </w:pPr>
      <w:r w:rsidRPr="00CD68AB">
        <w:t>Forma consolidată a documentelor statutare se referă la forma actualizată a acestor documente, care corespunde cu informațiile din certificatul constatator ORC (nu la o formă care să conțină mențiuni cu privire la toate modificările efectuate până la momentul consolidării).</w:t>
      </w:r>
    </w:p>
    <w:p w:rsidR="005C1D37" w:rsidRDefault="005C1D37" w:rsidP="001D720A">
      <w:pPr>
        <w:pStyle w:val="ListParagraph"/>
        <w:jc w:val="both"/>
      </w:pPr>
    </w:p>
    <w:p w:rsidR="006C70FA" w:rsidRDefault="006C70FA">
      <w:pPr>
        <w:rPr>
          <w:b/>
        </w:rPr>
      </w:pPr>
      <w:r>
        <w:rPr>
          <w:b/>
        </w:rPr>
        <w:br w:type="page"/>
      </w:r>
    </w:p>
    <w:p w:rsidR="00446351" w:rsidRPr="00FC6D2F" w:rsidRDefault="00446351" w:rsidP="001D720A">
      <w:pPr>
        <w:pStyle w:val="ListParagraph"/>
        <w:numPr>
          <w:ilvl w:val="0"/>
          <w:numId w:val="1"/>
        </w:numPr>
        <w:jc w:val="both"/>
        <w:rPr>
          <w:b/>
        </w:rPr>
      </w:pPr>
      <w:r w:rsidRPr="00FC6D2F">
        <w:rPr>
          <w:b/>
        </w:rPr>
        <w:t>Dețin o clădire ”la roșu”. Pot sa depun un proiect pentru finalizarea ei?</w:t>
      </w:r>
    </w:p>
    <w:p w:rsidR="00446351" w:rsidRDefault="00446351" w:rsidP="001D720A">
      <w:pPr>
        <w:pStyle w:val="ListParagraph"/>
        <w:jc w:val="both"/>
      </w:pPr>
      <w:r>
        <w:t>Nu sunt eligibile</w:t>
      </w:r>
      <w:r w:rsidRPr="00B73958">
        <w:t xml:space="preserve"> investiții</w:t>
      </w:r>
      <w:r>
        <w:t>le</w:t>
      </w:r>
      <w:r w:rsidRPr="00B73958">
        <w:t xml:space="preserve"> a căror implementare a fost deja demarată înaintea depunerii cererii de finanțare. </w:t>
      </w:r>
      <w:r>
        <w:t>Astfel, lucrările de construcții pentru f</w:t>
      </w:r>
      <w:r w:rsidRPr="00B73958">
        <w:t>inalizarea un</w:t>
      </w:r>
      <w:r>
        <w:t xml:space="preserve">ei clădiri </w:t>
      </w:r>
      <w:r w:rsidRPr="00B73958">
        <w:t>(</w:t>
      </w:r>
      <w:r>
        <w:t>la roșu/la gri)</w:t>
      </w:r>
      <w:r w:rsidRPr="00B73958">
        <w:t xml:space="preserve"> nu </w:t>
      </w:r>
      <w:r>
        <w:t>sunt</w:t>
      </w:r>
      <w:r w:rsidRPr="00B73958">
        <w:t xml:space="preserve"> eligibil</w:t>
      </w:r>
      <w:r>
        <w:t>e</w:t>
      </w:r>
      <w:r w:rsidRPr="00B73958">
        <w:t>.</w:t>
      </w:r>
    </w:p>
    <w:p w:rsidR="005C1D37" w:rsidRPr="00CA5802" w:rsidRDefault="005C1D37" w:rsidP="001D720A">
      <w:pPr>
        <w:pStyle w:val="ListParagraph"/>
        <w:jc w:val="both"/>
      </w:pPr>
    </w:p>
    <w:p w:rsidR="00446351" w:rsidRPr="00FC6D2F" w:rsidRDefault="00446351" w:rsidP="001D720A">
      <w:pPr>
        <w:pStyle w:val="ListParagraph"/>
        <w:numPr>
          <w:ilvl w:val="0"/>
          <w:numId w:val="1"/>
        </w:numPr>
        <w:jc w:val="both"/>
        <w:rPr>
          <w:b/>
        </w:rPr>
      </w:pPr>
      <w:r w:rsidRPr="00FC6D2F">
        <w:rPr>
          <w:b/>
        </w:rPr>
        <w:t>O societate are ca asociat unic un ONG. Se consideră că cele două formează o întreprindere unică?</w:t>
      </w:r>
    </w:p>
    <w:p w:rsidR="00446351" w:rsidRDefault="00446351" w:rsidP="001D720A">
      <w:pPr>
        <w:pStyle w:val="ListParagraph"/>
        <w:jc w:val="both"/>
      </w:pPr>
      <w:r>
        <w:t xml:space="preserve">În sensul Regulamentului de minimis (Regulamentului Comisiei Europene nr. 1407/2013 privind aplicarea articolelor 107 și 108 din Tratatul privind funcționarea Uniunii Europene ajutoarelor de minimis), întreprinderea unică reprezintă un grup de întreprinderi legate, respectiv întreprinderi între care există oricare din relațiile menționate la </w:t>
      </w:r>
      <w:r w:rsidRPr="00982B69">
        <w:t xml:space="preserve">Art. </w:t>
      </w:r>
      <w:r>
        <w:t>2</w:t>
      </w:r>
      <w:r w:rsidRPr="00982B69">
        <w:t xml:space="preserve"> alin. (</w:t>
      </w:r>
      <w:r>
        <w:t>2</w:t>
      </w:r>
      <w:r w:rsidRPr="00982B69">
        <w:t xml:space="preserve">) din </w:t>
      </w:r>
      <w:r>
        <w:t xml:space="preserve">Regulament. </w:t>
      </w:r>
      <w:r w:rsidRPr="005A6425">
        <w:t>În sensul normelor de concurență prevăzute în tratat, prin „întreprindere” se înțelege orice entitate care desfășoară o activitate economică, indiferent de statutul său juridic și de modul în care este finanțată</w:t>
      </w:r>
      <w:r>
        <w:t xml:space="preserve"> (paragraful (4) din preambulul la Regulament).</w:t>
      </w:r>
    </w:p>
    <w:p w:rsidR="00446351" w:rsidRDefault="00446351" w:rsidP="001D720A">
      <w:pPr>
        <w:pStyle w:val="ListParagraph"/>
        <w:jc w:val="both"/>
      </w:pPr>
      <w:r>
        <w:t>Astfel, orice formă de organizare a unei activităţi economice este considerată întreprindere și va fi analizată în stabilirea legăturilor cu entitatea solicitantă.</w:t>
      </w:r>
    </w:p>
    <w:p w:rsidR="00446351" w:rsidRDefault="00446351" w:rsidP="001D720A">
      <w:pPr>
        <w:pStyle w:val="ListParagraph"/>
        <w:jc w:val="both"/>
      </w:pPr>
      <w:r>
        <w:t xml:space="preserve">Deci, dacă organizația non-guvernamantală este asociatul unic al entității solicitante (sau între ONG și solicitant există oricare din relațiile menționate la </w:t>
      </w:r>
      <w:r w:rsidRPr="00982B69">
        <w:t xml:space="preserve">Art. </w:t>
      </w:r>
      <w:r>
        <w:t>2</w:t>
      </w:r>
      <w:r w:rsidRPr="00982B69">
        <w:t xml:space="preserve"> alin. (</w:t>
      </w:r>
      <w:r>
        <w:t>2</w:t>
      </w:r>
      <w:r w:rsidRPr="00982B69">
        <w:t xml:space="preserve">) din </w:t>
      </w:r>
      <w:r>
        <w:t>Regulamentul de minimis), acestea vor fi considerate ca formând o întreprindere unică dacă ONG desfășoară activitate economică.</w:t>
      </w:r>
    </w:p>
    <w:p w:rsidR="00446351" w:rsidRDefault="00446351" w:rsidP="001D720A">
      <w:pPr>
        <w:pStyle w:val="ListParagraph"/>
        <w:jc w:val="both"/>
      </w:pPr>
      <w:r>
        <w:t xml:space="preserve">În plus, datele aferente ONG (număr mediu de salariați, cifra de afaceri) vor fi luate în calcul inclusiv la încadrarea solicitantului în categoria microîntreprinderilor (în conformitate cu Legea </w:t>
      </w:r>
      <w:r w:rsidRPr="005A6425">
        <w:t>346/2004 privind stimularea înființării și dezvoltării IMM-urilor, cu modificările și completările ulterioare</w:t>
      </w:r>
      <w:r>
        <w:t>).</w:t>
      </w:r>
    </w:p>
    <w:p w:rsidR="005C1D37" w:rsidRDefault="005C1D37" w:rsidP="001D720A">
      <w:pPr>
        <w:pStyle w:val="ListParagraph"/>
        <w:jc w:val="both"/>
      </w:pPr>
    </w:p>
    <w:p w:rsidR="00446351" w:rsidRPr="00FC6D2F" w:rsidRDefault="00446351" w:rsidP="001D720A">
      <w:pPr>
        <w:pStyle w:val="ListParagraph"/>
        <w:numPr>
          <w:ilvl w:val="0"/>
          <w:numId w:val="1"/>
        </w:numPr>
        <w:jc w:val="both"/>
        <w:rPr>
          <w:b/>
        </w:rPr>
      </w:pPr>
      <w:r w:rsidRPr="00FC6D2F">
        <w:rPr>
          <w:b/>
        </w:rPr>
        <w:t>Este eligibilă cheltuiala cu elaborarea proiectului tehnic?</w:t>
      </w:r>
    </w:p>
    <w:p w:rsidR="00446351" w:rsidRDefault="00446351" w:rsidP="001D720A">
      <w:pPr>
        <w:pStyle w:val="ListParagraph"/>
        <w:jc w:val="both"/>
      </w:pPr>
      <w:r w:rsidRPr="00446351">
        <w:t xml:space="preserve">În cadrul acestui apel de proiecte, cheltuiala cu elaborarea proiectului tehnic nu este eligibilă. Sunt eligibile, totuși, cheltuielile pentru elaborarea documentaţiilor necesare obţinerii </w:t>
      </w:r>
      <w:r w:rsidRPr="00C50155">
        <w:t>acordurilor, avizelor şi autorizaţiilor aferente obiectivului de investiţie (documentaţii ce stau la baza emiterii avizelor şi acordurilor impuse prin certificatul de urbanism, documentaţii urbanistice, studii de impact, studii/expertize de amplasament, studii de trafic etc.).</w:t>
      </w:r>
    </w:p>
    <w:p w:rsidR="005C1D37" w:rsidRPr="00C50155" w:rsidRDefault="005C1D37" w:rsidP="001D720A">
      <w:pPr>
        <w:pStyle w:val="ListParagraph"/>
        <w:jc w:val="both"/>
      </w:pPr>
    </w:p>
    <w:p w:rsidR="001518B4" w:rsidRPr="00C50155" w:rsidRDefault="001518B4" w:rsidP="001D720A">
      <w:pPr>
        <w:pStyle w:val="ListParagraph"/>
        <w:numPr>
          <w:ilvl w:val="0"/>
          <w:numId w:val="1"/>
        </w:numPr>
        <w:jc w:val="both"/>
        <w:rPr>
          <w:b/>
        </w:rPr>
      </w:pPr>
      <w:r w:rsidRPr="00C50155">
        <w:rPr>
          <w:b/>
        </w:rPr>
        <w:t>Conform noii Machete Analiza și previziunea financiară (din ghidul modificat pe 11 iulie a.c.), sunt clasificat ca întreprindere în dificultate, deși pierderile acumulate sunt acoperite de capitalurile proprii.</w:t>
      </w:r>
    </w:p>
    <w:p w:rsidR="00E92A97" w:rsidRDefault="00751712" w:rsidP="001D720A">
      <w:pPr>
        <w:pStyle w:val="ListParagraph"/>
        <w:jc w:val="both"/>
      </w:pPr>
      <w:r w:rsidRPr="00C50155">
        <w:t>Calculul/rezultatul de la pct. iii) din foaia de lucru 1E este aplicabil în cazul înregistrării unei pierderi de capital (</w:t>
      </w:r>
      <w:r w:rsidR="006D2946">
        <w:t xml:space="preserve">respectiv </w:t>
      </w:r>
      <w:r w:rsidRPr="00C50155">
        <w:t>valoarea rezultată în celula F19 este negativă). În caz contrar, când pierderea acumulată (rezultatul total acumulat negativ) este acoperită de prime și rezerve, atunci întreprinderea nu poate fi considerată în dificultate, întrucât „pierderea” (fiind, in realitate, inexistentă, în cazul unei valori pozitive la celula F19), ar fi mai mică de 50% din capitalul social subscris și varsat (conform celor mentionate la pct. iii din foaia de lucru).</w:t>
      </w:r>
    </w:p>
    <w:p w:rsidR="005C1D37" w:rsidRPr="00C50155" w:rsidRDefault="005C1D37" w:rsidP="001D720A">
      <w:pPr>
        <w:pStyle w:val="ListParagraph"/>
        <w:jc w:val="both"/>
      </w:pPr>
    </w:p>
    <w:p w:rsidR="006C70FA" w:rsidRDefault="006C70FA">
      <w:pPr>
        <w:rPr>
          <w:b/>
        </w:rPr>
      </w:pPr>
      <w:r>
        <w:rPr>
          <w:b/>
        </w:rPr>
        <w:br w:type="page"/>
      </w:r>
    </w:p>
    <w:p w:rsidR="00667B21" w:rsidRPr="00C50155" w:rsidRDefault="00667B21" w:rsidP="001D720A">
      <w:pPr>
        <w:pStyle w:val="ListParagraph"/>
        <w:numPr>
          <w:ilvl w:val="0"/>
          <w:numId w:val="1"/>
        </w:numPr>
        <w:jc w:val="both"/>
        <w:rPr>
          <w:b/>
        </w:rPr>
      </w:pPr>
      <w:r w:rsidRPr="00C50155">
        <w:rPr>
          <w:b/>
        </w:rPr>
        <w:t>Este eligibilă cheltuiala cu taxa pe valoarea adăugată?</w:t>
      </w:r>
    </w:p>
    <w:p w:rsidR="00667B21" w:rsidRDefault="00667B21" w:rsidP="001D720A">
      <w:pPr>
        <w:pStyle w:val="ListParagraph"/>
        <w:jc w:val="both"/>
      </w:pPr>
      <w:r w:rsidRPr="00C50155">
        <w:t>Cu respectarea prevederilor art. 69 alin. (3) lit. c) din Regulamentul (UE) nr. 1.303/2013, precum și a prevederilor Codului fiscal, cheltuiala cu taxa pe valoarea adăugată este eligibilă doar dacă este nerecuperabilă, potrivit legii.</w:t>
      </w:r>
    </w:p>
    <w:p w:rsidR="005C1D37" w:rsidRPr="00C50155" w:rsidRDefault="005C1D37" w:rsidP="001D720A">
      <w:pPr>
        <w:pStyle w:val="ListParagraph"/>
        <w:jc w:val="both"/>
      </w:pPr>
    </w:p>
    <w:p w:rsidR="007141CA" w:rsidRPr="00C50155" w:rsidRDefault="004217E2" w:rsidP="001D720A">
      <w:pPr>
        <w:pStyle w:val="ListParagraph"/>
        <w:numPr>
          <w:ilvl w:val="0"/>
          <w:numId w:val="1"/>
        </w:numPr>
        <w:jc w:val="both"/>
        <w:rPr>
          <w:b/>
        </w:rPr>
      </w:pPr>
      <w:r w:rsidRPr="00C50155">
        <w:rPr>
          <w:b/>
        </w:rPr>
        <w:t>Prin ce documente contabile trebuie să dovedesc separarea evidenței activităților sau distincția între costuri, în legătură cu ajutorul de minimis?</w:t>
      </w:r>
    </w:p>
    <w:p w:rsidR="002769D3" w:rsidRDefault="002769D3" w:rsidP="001D720A">
      <w:pPr>
        <w:pStyle w:val="ListParagraph"/>
        <w:jc w:val="both"/>
      </w:pPr>
      <w:r w:rsidRPr="00C50155">
        <w:t xml:space="preserve">În niciuna din etapele procesului de verificare, evaluare, contractare, nu sunt solicitate documente contabile care să ateste separarea evidenței activităților sau distincția între costuri. Totuși, prin Declarația de angajament, solicitantul se angajează că, în cazul în care desfășoară sau va desfășura activități în mai multe domenii de activitate, ajutorul de minimis obținut prin POR 2014-2020 nu va fi utilizat într-un </w:t>
      </w:r>
      <w:r w:rsidR="006D2946">
        <w:t>alt domeniu de activitate (</w:t>
      </w:r>
      <w:r w:rsidRPr="00C50155">
        <w:t>clasă CAEN) decât cel menționat în cererea de finanțare. Acest aspect face obiectul inclusiv al contractului de finanțare (Art. 2 alin (1) din Anexa 1 – Condiții specifice, Secțiunea II – Condiții specifice aplicabile Priorității de investiții 2.1. din Modelul standard orientativ al contractului de finanțare, cuprins în ghidul specific).</w:t>
      </w:r>
    </w:p>
    <w:p w:rsidR="005C1D37" w:rsidRPr="00C50155" w:rsidRDefault="005C1D37" w:rsidP="001D720A">
      <w:pPr>
        <w:pStyle w:val="ListParagraph"/>
        <w:jc w:val="both"/>
      </w:pPr>
    </w:p>
    <w:p w:rsidR="00172007" w:rsidRPr="00C50155" w:rsidRDefault="00172007" w:rsidP="001D720A">
      <w:pPr>
        <w:pStyle w:val="ListParagraph"/>
        <w:numPr>
          <w:ilvl w:val="0"/>
          <w:numId w:val="1"/>
        </w:numPr>
        <w:jc w:val="both"/>
        <w:rPr>
          <w:b/>
        </w:rPr>
      </w:pPr>
      <w:r w:rsidRPr="00C50155">
        <w:rPr>
          <w:b/>
        </w:rPr>
        <w:t>În MySMIS, secțiunea “Solicitantul” – Date financiare, din Cererea de finanțare, la ce se referă câmpurile ”Capital social subscris” și ”Capital social propriu”? Aceste denumiri nu se regăsesc în bilanț.</w:t>
      </w:r>
    </w:p>
    <w:p w:rsidR="00172007" w:rsidRPr="00C50155" w:rsidRDefault="00172007" w:rsidP="001D720A">
      <w:pPr>
        <w:pStyle w:val="ListParagraph"/>
        <w:jc w:val="both"/>
      </w:pPr>
      <w:r w:rsidRPr="00C50155">
        <w:t>La „Capital social subscris”, se va înscrie valoarea capitalului subscris, iar la „Capital social propriu” se va înscrie valoarea capitalurilor proprii, conform bilanțului contabil.</w:t>
      </w:r>
    </w:p>
    <w:p w:rsidR="002769D3" w:rsidRPr="00C50155" w:rsidRDefault="002769D3" w:rsidP="001D720A">
      <w:pPr>
        <w:pStyle w:val="ListParagraph"/>
        <w:jc w:val="both"/>
        <w:rPr>
          <w:b/>
        </w:rPr>
      </w:pPr>
    </w:p>
    <w:p w:rsidR="00363271" w:rsidRPr="00C50155" w:rsidRDefault="00363271" w:rsidP="001D720A">
      <w:pPr>
        <w:pStyle w:val="ListParagraph"/>
        <w:numPr>
          <w:ilvl w:val="0"/>
          <w:numId w:val="1"/>
        </w:numPr>
        <w:jc w:val="both"/>
        <w:rPr>
          <w:b/>
        </w:rPr>
      </w:pPr>
      <w:r>
        <w:rPr>
          <w:b/>
        </w:rPr>
        <w:t>Un SRL-D este eligibil pe POR – 2.1.A – Microîntreprinderi?</w:t>
      </w:r>
    </w:p>
    <w:p w:rsidR="00363271" w:rsidRPr="00C50155" w:rsidRDefault="00363271" w:rsidP="001D720A">
      <w:pPr>
        <w:pStyle w:val="ListParagraph"/>
        <w:jc w:val="both"/>
      </w:pPr>
      <w:r>
        <w:t>Da</w:t>
      </w:r>
      <w:r w:rsidRPr="00C50155">
        <w:t>.</w:t>
      </w:r>
    </w:p>
    <w:p w:rsidR="002769D3" w:rsidRDefault="002769D3" w:rsidP="001D720A">
      <w:pPr>
        <w:pStyle w:val="ListParagraph"/>
        <w:jc w:val="both"/>
      </w:pPr>
    </w:p>
    <w:p w:rsidR="00245B22" w:rsidRDefault="00245B22" w:rsidP="001D720A">
      <w:pPr>
        <w:pStyle w:val="ListParagraph"/>
        <w:numPr>
          <w:ilvl w:val="0"/>
          <w:numId w:val="1"/>
        </w:numPr>
        <w:jc w:val="both"/>
        <w:rPr>
          <w:b/>
        </w:rPr>
      </w:pPr>
      <w:r w:rsidRPr="00C50155">
        <w:rPr>
          <w:b/>
        </w:rPr>
        <w:t>În MySMIS, secțiunea “</w:t>
      </w:r>
      <w:r>
        <w:rPr>
          <w:b/>
        </w:rPr>
        <w:t xml:space="preserve">Buget – Activități și cheltuieli”, la selectarea schemei de ajutor de stat, opțiunile disponibile nu coincid cu cele incluse în instrucțiunile de completare a acestei secțiuni. Ce </w:t>
      </w:r>
      <w:r w:rsidR="00E01517">
        <w:rPr>
          <w:b/>
        </w:rPr>
        <w:t>variante trebuie să selectez</w:t>
      </w:r>
      <w:r>
        <w:rPr>
          <w:b/>
        </w:rPr>
        <w:t>?</w:t>
      </w:r>
    </w:p>
    <w:p w:rsidR="00B16141" w:rsidRDefault="00B16141" w:rsidP="001D720A">
      <w:pPr>
        <w:pStyle w:val="ListParagraph"/>
        <w:jc w:val="both"/>
      </w:pPr>
      <w:r>
        <w:t xml:space="preserve">La </w:t>
      </w:r>
      <w:r w:rsidRPr="0096341C">
        <w:rPr>
          <w:i/>
        </w:rPr>
        <w:t>”Schema de ajutor de stat”</w:t>
      </w:r>
      <w:r>
        <w:t xml:space="preserve"> se va selecta </w:t>
      </w:r>
      <w:r w:rsidRPr="0096341C">
        <w:rPr>
          <w:i/>
        </w:rPr>
        <w:t>”Schema de ajutor de minimis pentru sprijinirea dezvoltării microîntreprinderilor în cadrul Programului Operațional Regional 2014-2020”</w:t>
      </w:r>
      <w:r>
        <w:t>.</w:t>
      </w:r>
    </w:p>
    <w:p w:rsidR="00245B22" w:rsidRDefault="00B16141" w:rsidP="001D720A">
      <w:pPr>
        <w:pStyle w:val="ListParagraph"/>
        <w:jc w:val="both"/>
      </w:pPr>
      <w:r>
        <w:t xml:space="preserve">La </w:t>
      </w:r>
      <w:r w:rsidRPr="0096341C">
        <w:rPr>
          <w:i/>
        </w:rPr>
        <w:t>”Categorie de ajutor de stat”</w:t>
      </w:r>
      <w:r>
        <w:t xml:space="preserve"> se va selecta </w:t>
      </w:r>
      <w:r w:rsidRPr="0096341C">
        <w:rPr>
          <w:i/>
        </w:rPr>
        <w:t>”Ajutoare de minimis acordate întreprinderilor unice”</w:t>
      </w:r>
      <w:r>
        <w:t>.</w:t>
      </w:r>
      <w:r w:rsidRPr="00B16141">
        <w:t xml:space="preserve"> </w:t>
      </w:r>
      <w:r w:rsidR="00245B22" w:rsidRPr="00B16141">
        <w:t xml:space="preserve"> </w:t>
      </w:r>
    </w:p>
    <w:p w:rsidR="009D58E4" w:rsidRDefault="009D58E4" w:rsidP="001D720A">
      <w:pPr>
        <w:pStyle w:val="ListParagraph"/>
        <w:jc w:val="both"/>
      </w:pPr>
    </w:p>
    <w:p w:rsidR="009D58E4" w:rsidRDefault="009D58E4" w:rsidP="001D720A">
      <w:pPr>
        <w:pStyle w:val="ListParagraph"/>
        <w:numPr>
          <w:ilvl w:val="0"/>
          <w:numId w:val="1"/>
        </w:numPr>
        <w:jc w:val="both"/>
        <w:rPr>
          <w:b/>
        </w:rPr>
      </w:pPr>
      <w:r w:rsidRPr="00C50155">
        <w:rPr>
          <w:b/>
        </w:rPr>
        <w:t>În MySMIS, secțiunea “</w:t>
      </w:r>
      <w:r w:rsidRPr="009D58E4">
        <w:rPr>
          <w:b/>
        </w:rPr>
        <w:t>Buget – Activitate economică</w:t>
      </w:r>
      <w:r>
        <w:rPr>
          <w:b/>
        </w:rPr>
        <w:t>”, conform instrucțiunilor de completare din ghid, trebuie să selectez</w:t>
      </w:r>
      <w:r w:rsidRPr="009D58E4">
        <w:rPr>
          <w:b/>
        </w:rPr>
        <w:t xml:space="preserve"> clasa CAEN (codul </w:t>
      </w:r>
      <w:r>
        <w:rPr>
          <w:b/>
        </w:rPr>
        <w:t>de 4 cifre) vizat de investiție, dar opțiunile disponibile nu sunt la nivel de cod CAEN</w:t>
      </w:r>
      <w:r w:rsidRPr="009D58E4">
        <w:rPr>
          <w:b/>
        </w:rPr>
        <w:t>.</w:t>
      </w:r>
      <w:r>
        <w:rPr>
          <w:b/>
        </w:rPr>
        <w:t xml:space="preserve"> Ce trebuie să selectez?</w:t>
      </w:r>
    </w:p>
    <w:p w:rsidR="003D506D" w:rsidRDefault="009D58E4" w:rsidP="0051583A">
      <w:pPr>
        <w:pStyle w:val="ListParagraph"/>
        <w:jc w:val="both"/>
      </w:pPr>
      <w:r w:rsidRPr="009D58E4">
        <w:t xml:space="preserve">La </w:t>
      </w:r>
      <w:r>
        <w:t>această secțiune, selectați,</w:t>
      </w:r>
      <w:r w:rsidRPr="009D58E4">
        <w:t xml:space="preserve"> </w:t>
      </w:r>
      <w:r>
        <w:t>din opț</w:t>
      </w:r>
      <w:r w:rsidRPr="009D58E4">
        <w:t>iunile disponibile</w:t>
      </w:r>
      <w:r>
        <w:t>,</w:t>
      </w:r>
      <w:r w:rsidRPr="009D58E4">
        <w:t xml:space="preserve"> categoria</w:t>
      </w:r>
      <w:r>
        <w:t>/domeniul</w:t>
      </w:r>
      <w:r w:rsidRPr="009D58E4">
        <w:t xml:space="preserve"> de activit</w:t>
      </w:r>
      <w:r>
        <w:t>ăți câ</w:t>
      </w:r>
      <w:r w:rsidRPr="009D58E4">
        <w:t>t mai apropiat de domeniul de activitate</w:t>
      </w:r>
      <w:r>
        <w:t xml:space="preserve"> (codul CAEN) vizat de investiție. Varianta aleasă nu influenț</w:t>
      </w:r>
      <w:r w:rsidRPr="009D58E4">
        <w:t>e</w:t>
      </w:r>
      <w:r>
        <w:t>ază î</w:t>
      </w:r>
      <w:r w:rsidRPr="009D58E4">
        <w:t xml:space="preserve">n vreun fel </w:t>
      </w:r>
      <w:r>
        <w:t>eligibilitatea cererii de finanțare, atât timp cât clasa CAEN vizată de proiect a fost selectată în mod corespunză</w:t>
      </w:r>
      <w:r w:rsidRPr="009D58E4">
        <w:t xml:space="preserve">tor la </w:t>
      </w:r>
      <w:r>
        <w:t>secțiunea</w:t>
      </w:r>
      <w:r w:rsidRPr="009D58E4">
        <w:t xml:space="preserve"> „Capacitate solicitant” (punctul „Cod CAEN relevant”)</w:t>
      </w:r>
      <w:r>
        <w:t>.</w:t>
      </w:r>
    </w:p>
    <w:sectPr w:rsidR="003D506D" w:rsidSect="006C70FA">
      <w:headerReference w:type="default" r:id="rId7"/>
      <w:headerReference w:type="first" r:id="rId8"/>
      <w:pgSz w:w="11906" w:h="16838"/>
      <w:pgMar w:top="2241" w:right="1416" w:bottom="1418"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285" w:rsidRDefault="00EE3285" w:rsidP="00B9733D">
      <w:pPr>
        <w:spacing w:after="0" w:line="240" w:lineRule="auto"/>
      </w:pPr>
      <w:r>
        <w:separator/>
      </w:r>
    </w:p>
  </w:endnote>
  <w:endnote w:type="continuationSeparator" w:id="0">
    <w:p w:rsidR="00EE3285" w:rsidRDefault="00EE3285" w:rsidP="00B97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285" w:rsidRDefault="00EE3285" w:rsidP="00B9733D">
      <w:pPr>
        <w:spacing w:after="0" w:line="240" w:lineRule="auto"/>
      </w:pPr>
      <w:r>
        <w:separator/>
      </w:r>
    </w:p>
  </w:footnote>
  <w:footnote w:type="continuationSeparator" w:id="0">
    <w:p w:rsidR="00EE3285" w:rsidRDefault="00EE3285" w:rsidP="00B97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469" w:rsidRDefault="00F94469" w:rsidP="00B9733D">
    <w:pPr>
      <w:pStyle w:val="Header"/>
    </w:pPr>
    <w:r>
      <w:rPr>
        <w:noProof/>
        <w:lang w:eastAsia="ro-RO"/>
      </w:rPr>
      <w:drawing>
        <wp:anchor distT="0" distB="0" distL="114300" distR="114300" simplePos="0" relativeHeight="251654144" behindDoc="0" locked="1" layoutInCell="1" allowOverlap="0" wp14:anchorId="0B0CE450" wp14:editId="089F8777">
          <wp:simplePos x="0" y="0"/>
          <wp:positionH relativeFrom="page">
            <wp:posOffset>360045</wp:posOffset>
          </wp:positionH>
          <wp:positionV relativeFrom="page">
            <wp:posOffset>360045</wp:posOffset>
          </wp:positionV>
          <wp:extent cx="4448175" cy="895350"/>
          <wp:effectExtent l="0" t="0" r="9525" b="0"/>
          <wp:wrapTopAndBottom/>
          <wp:docPr id="12" name="Picture 12" descr="LOGO_ANTET_MD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NTET_MDR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81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4469" w:rsidRDefault="00F94469">
    <w:pPr>
      <w:pStyle w:val="Header"/>
    </w:pPr>
  </w:p>
  <w:p w:rsidR="00F94469" w:rsidRDefault="00F94469">
    <w:pPr>
      <w:pStyle w:val="Header"/>
    </w:pPr>
  </w:p>
  <w:p w:rsidR="00F94469" w:rsidRDefault="00F94469">
    <w:pPr>
      <w:pStyle w:val="Header"/>
    </w:pPr>
    <w:r>
      <w:rPr>
        <w:noProof/>
        <w:lang w:eastAsia="ro-RO"/>
      </w:rPr>
      <mc:AlternateContent>
        <mc:Choice Requires="wps">
          <w:drawing>
            <wp:anchor distT="0" distB="0" distL="114300" distR="114300" simplePos="0" relativeHeight="251657216" behindDoc="0" locked="0" layoutInCell="1" allowOverlap="1" wp14:anchorId="6B1C8EC2" wp14:editId="419DA0F6">
              <wp:simplePos x="0" y="0"/>
              <wp:positionH relativeFrom="column">
                <wp:posOffset>455295</wp:posOffset>
              </wp:positionH>
              <wp:positionV relativeFrom="paragraph">
                <wp:posOffset>148590</wp:posOffset>
              </wp:positionV>
              <wp:extent cx="581977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179A72" id="_x0000_t32" coordsize="21600,21600" o:spt="32" o:oned="t" path="m,l21600,21600e" filled="f">
              <v:path arrowok="t" fillok="f" o:connecttype="none"/>
              <o:lock v:ext="edit" shapetype="t"/>
            </v:shapetype>
            <v:shape id="Straight Arrow Connector 2" o:spid="_x0000_s1026" type="#_x0000_t32" style="position:absolute;margin-left:35.85pt;margin-top:11.7pt;width:458.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" strokecolor="#17365d"/>
          </w:pict>
        </mc:Fallback>
      </mc:AlternateContent>
    </w:r>
  </w:p>
  <w:p w:rsidR="00F94469" w:rsidRPr="006C0C94" w:rsidRDefault="00F94469" w:rsidP="006C0C94">
    <w:pPr>
      <w:pStyle w:val="Header"/>
      <w:jc w:val="right"/>
      <w:rPr>
        <w:b/>
      </w:rPr>
    </w:pPr>
    <w:r w:rsidRPr="006C0C94">
      <w:rPr>
        <w:b/>
        <w:color w:val="1F4E79" w:themeColor="accent1" w:themeShade="80"/>
        <w:sz w:val="20"/>
      </w:rPr>
      <w:t>Întrebări frecvente - Apelul 2.1.A - Microîntreprinderi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469" w:rsidRDefault="00F94469" w:rsidP="006C0C94">
    <w:pPr>
      <w:pStyle w:val="Header"/>
    </w:pPr>
    <w:r>
      <w:rPr>
        <w:noProof/>
        <w:lang w:eastAsia="ro-RO"/>
      </w:rPr>
      <w:drawing>
        <wp:anchor distT="0" distB="0" distL="114300" distR="114300" simplePos="0" relativeHeight="251659264" behindDoc="0" locked="1" layoutInCell="1" allowOverlap="0" wp14:anchorId="5734DA34" wp14:editId="21A3D8C1">
          <wp:simplePos x="0" y="0"/>
          <wp:positionH relativeFrom="page">
            <wp:posOffset>360045</wp:posOffset>
          </wp:positionH>
          <wp:positionV relativeFrom="page">
            <wp:posOffset>360045</wp:posOffset>
          </wp:positionV>
          <wp:extent cx="4448175" cy="895350"/>
          <wp:effectExtent l="0" t="0" r="9525" b="0"/>
          <wp:wrapTopAndBottom/>
          <wp:docPr id="13" name="Picture 13" descr="LOGO_ANTET_MD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NTET_MDR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81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4469" w:rsidRDefault="00F94469" w:rsidP="006C0C94">
    <w:pPr>
      <w:pStyle w:val="Header"/>
    </w:pPr>
    <w:r>
      <w:rPr>
        <w:noProof/>
        <w:lang w:eastAsia="ro-RO"/>
      </w:rPr>
      <mc:AlternateContent>
        <mc:Choice Requires="wps">
          <w:drawing>
            <wp:anchor distT="0" distB="0" distL="114300" distR="114300" simplePos="0" relativeHeight="251661312" behindDoc="0" locked="0" layoutInCell="1" allowOverlap="1" wp14:anchorId="25BF321E" wp14:editId="32F25FBF">
              <wp:simplePos x="0" y="0"/>
              <wp:positionH relativeFrom="column">
                <wp:posOffset>445770</wp:posOffset>
              </wp:positionH>
              <wp:positionV relativeFrom="paragraph">
                <wp:posOffset>493395</wp:posOffset>
              </wp:positionV>
              <wp:extent cx="5819775" cy="0"/>
              <wp:effectExtent l="0" t="0" r="28575" b="190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A56045" id="_x0000_t32" coordsize="21600,21600" o:spt="32" o:oned="t" path="m,l21600,21600e" filled="f">
              <v:path arrowok="t" fillok="f" o:connecttype="none"/>
              <o:lock v:ext="edit" shapetype="t"/>
            </v:shapetype>
            <v:shape id="Straight Arrow Connector 33" o:spid="_x0000_s1026" type="#_x0000_t32" style="position:absolute;margin-left:35.1pt;margin-top:38.85pt;width:45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" strokecolor="#17365d"/>
          </w:pict>
        </mc:Fallback>
      </mc:AlternateContent>
    </w:r>
  </w:p>
  <w:p w:rsidR="00F94469" w:rsidRDefault="00F944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70654D"/>
    <w:multiLevelType w:val="hybridMultilevel"/>
    <w:tmpl w:val="EF866FF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743"/>
    <w:rsid w:val="00013272"/>
    <w:rsid w:val="00035DEE"/>
    <w:rsid w:val="0006529D"/>
    <w:rsid w:val="000669CC"/>
    <w:rsid w:val="00090A86"/>
    <w:rsid w:val="000919FF"/>
    <w:rsid w:val="000A3C8A"/>
    <w:rsid w:val="000B228B"/>
    <w:rsid w:val="000E0478"/>
    <w:rsid w:val="0011670E"/>
    <w:rsid w:val="00132369"/>
    <w:rsid w:val="001333AF"/>
    <w:rsid w:val="00134925"/>
    <w:rsid w:val="00137D26"/>
    <w:rsid w:val="00145BC3"/>
    <w:rsid w:val="001518B4"/>
    <w:rsid w:val="00154838"/>
    <w:rsid w:val="00165B14"/>
    <w:rsid w:val="00172007"/>
    <w:rsid w:val="00176405"/>
    <w:rsid w:val="00176F19"/>
    <w:rsid w:val="00181FD2"/>
    <w:rsid w:val="001917C2"/>
    <w:rsid w:val="001B27E4"/>
    <w:rsid w:val="001B7F4B"/>
    <w:rsid w:val="001D720A"/>
    <w:rsid w:val="001F3742"/>
    <w:rsid w:val="00201E2B"/>
    <w:rsid w:val="00213FFF"/>
    <w:rsid w:val="00221CAD"/>
    <w:rsid w:val="00245B22"/>
    <w:rsid w:val="00253374"/>
    <w:rsid w:val="00261A73"/>
    <w:rsid w:val="00273A43"/>
    <w:rsid w:val="002769D3"/>
    <w:rsid w:val="00284039"/>
    <w:rsid w:val="003018FB"/>
    <w:rsid w:val="00332582"/>
    <w:rsid w:val="003530BB"/>
    <w:rsid w:val="00363271"/>
    <w:rsid w:val="00374E2C"/>
    <w:rsid w:val="00391082"/>
    <w:rsid w:val="0039265B"/>
    <w:rsid w:val="003D506D"/>
    <w:rsid w:val="003F7938"/>
    <w:rsid w:val="00414A86"/>
    <w:rsid w:val="004217E2"/>
    <w:rsid w:val="0042619E"/>
    <w:rsid w:val="00430436"/>
    <w:rsid w:val="00446351"/>
    <w:rsid w:val="0047330E"/>
    <w:rsid w:val="004B55BE"/>
    <w:rsid w:val="0051583A"/>
    <w:rsid w:val="00587D86"/>
    <w:rsid w:val="005A6425"/>
    <w:rsid w:val="005C1D37"/>
    <w:rsid w:val="005C51ED"/>
    <w:rsid w:val="005E4222"/>
    <w:rsid w:val="005F64EF"/>
    <w:rsid w:val="00602FAE"/>
    <w:rsid w:val="00626F4D"/>
    <w:rsid w:val="00626FE4"/>
    <w:rsid w:val="006276C0"/>
    <w:rsid w:val="00667B21"/>
    <w:rsid w:val="006A5F6F"/>
    <w:rsid w:val="006C0C94"/>
    <w:rsid w:val="006C70FA"/>
    <w:rsid w:val="006D0DF8"/>
    <w:rsid w:val="006D2946"/>
    <w:rsid w:val="007141CA"/>
    <w:rsid w:val="00725A5F"/>
    <w:rsid w:val="00746413"/>
    <w:rsid w:val="00751712"/>
    <w:rsid w:val="00766BBC"/>
    <w:rsid w:val="00771A27"/>
    <w:rsid w:val="007759F8"/>
    <w:rsid w:val="007C1E6E"/>
    <w:rsid w:val="007C263D"/>
    <w:rsid w:val="007F0639"/>
    <w:rsid w:val="00825E37"/>
    <w:rsid w:val="008552A7"/>
    <w:rsid w:val="00870247"/>
    <w:rsid w:val="008903C4"/>
    <w:rsid w:val="008B6C9B"/>
    <w:rsid w:val="008E1BE8"/>
    <w:rsid w:val="00903A2D"/>
    <w:rsid w:val="00953B8C"/>
    <w:rsid w:val="0096341C"/>
    <w:rsid w:val="00982B69"/>
    <w:rsid w:val="00987030"/>
    <w:rsid w:val="009974DD"/>
    <w:rsid w:val="009A74A7"/>
    <w:rsid w:val="009A7847"/>
    <w:rsid w:val="009B7719"/>
    <w:rsid w:val="009D58E4"/>
    <w:rsid w:val="00A10634"/>
    <w:rsid w:val="00A11A86"/>
    <w:rsid w:val="00A1202F"/>
    <w:rsid w:val="00A306FF"/>
    <w:rsid w:val="00A4108C"/>
    <w:rsid w:val="00A479B3"/>
    <w:rsid w:val="00AD45A4"/>
    <w:rsid w:val="00AE5594"/>
    <w:rsid w:val="00AF1CFF"/>
    <w:rsid w:val="00B16141"/>
    <w:rsid w:val="00B23FA5"/>
    <w:rsid w:val="00B41A0F"/>
    <w:rsid w:val="00B55903"/>
    <w:rsid w:val="00B55FF0"/>
    <w:rsid w:val="00B73958"/>
    <w:rsid w:val="00B9733D"/>
    <w:rsid w:val="00BC1784"/>
    <w:rsid w:val="00BC39B2"/>
    <w:rsid w:val="00C24D48"/>
    <w:rsid w:val="00C37AA2"/>
    <w:rsid w:val="00C50155"/>
    <w:rsid w:val="00C73001"/>
    <w:rsid w:val="00CA5802"/>
    <w:rsid w:val="00CB6056"/>
    <w:rsid w:val="00CC0A36"/>
    <w:rsid w:val="00CD68AB"/>
    <w:rsid w:val="00CE203C"/>
    <w:rsid w:val="00CE31D0"/>
    <w:rsid w:val="00CE648F"/>
    <w:rsid w:val="00CF4376"/>
    <w:rsid w:val="00D06AB6"/>
    <w:rsid w:val="00D23A8C"/>
    <w:rsid w:val="00D33855"/>
    <w:rsid w:val="00D45C8B"/>
    <w:rsid w:val="00D46336"/>
    <w:rsid w:val="00D51D1F"/>
    <w:rsid w:val="00D667C4"/>
    <w:rsid w:val="00D80FAC"/>
    <w:rsid w:val="00E01517"/>
    <w:rsid w:val="00E14CD5"/>
    <w:rsid w:val="00E92A97"/>
    <w:rsid w:val="00EC5C03"/>
    <w:rsid w:val="00ED668A"/>
    <w:rsid w:val="00EE3285"/>
    <w:rsid w:val="00EF4E3D"/>
    <w:rsid w:val="00F073B7"/>
    <w:rsid w:val="00F15475"/>
    <w:rsid w:val="00F15D06"/>
    <w:rsid w:val="00F34793"/>
    <w:rsid w:val="00F35EDC"/>
    <w:rsid w:val="00F36F57"/>
    <w:rsid w:val="00F41140"/>
    <w:rsid w:val="00F4167C"/>
    <w:rsid w:val="00F64C4F"/>
    <w:rsid w:val="00F70590"/>
    <w:rsid w:val="00F70743"/>
    <w:rsid w:val="00F94469"/>
    <w:rsid w:val="00FC6D2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4D0780-D5F9-4FE1-B88D-B1B66C906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0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6351"/>
    <w:pPr>
      <w:ind w:left="720"/>
      <w:contextualSpacing/>
    </w:pPr>
  </w:style>
  <w:style w:type="paragraph" w:styleId="Header">
    <w:name w:val="header"/>
    <w:basedOn w:val="Normal"/>
    <w:link w:val="HeaderChar"/>
    <w:uiPriority w:val="99"/>
    <w:unhideWhenUsed/>
    <w:rsid w:val="00B973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9733D"/>
  </w:style>
  <w:style w:type="paragraph" w:styleId="Footer">
    <w:name w:val="footer"/>
    <w:basedOn w:val="Normal"/>
    <w:link w:val="FooterChar"/>
    <w:uiPriority w:val="99"/>
    <w:unhideWhenUsed/>
    <w:rsid w:val="00B973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733D"/>
  </w:style>
  <w:style w:type="paragraph" w:styleId="BalloonText">
    <w:name w:val="Balloon Text"/>
    <w:basedOn w:val="Normal"/>
    <w:link w:val="BalloonTextChar"/>
    <w:uiPriority w:val="99"/>
    <w:semiHidden/>
    <w:unhideWhenUsed/>
    <w:rsid w:val="006D2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9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786797">
      <w:bodyDiv w:val="1"/>
      <w:marLeft w:val="0"/>
      <w:marRight w:val="0"/>
      <w:marTop w:val="0"/>
      <w:marBottom w:val="0"/>
      <w:divBdr>
        <w:top w:val="none" w:sz="0" w:space="0" w:color="auto"/>
        <w:left w:val="none" w:sz="0" w:space="0" w:color="auto"/>
        <w:bottom w:val="none" w:sz="0" w:space="0" w:color="auto"/>
        <w:right w:val="none" w:sz="0" w:space="0" w:color="auto"/>
      </w:divBdr>
    </w:div>
    <w:div w:id="193142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1</Pages>
  <Words>2503</Words>
  <Characters>14521</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I. COSTACHE</dc:creator>
  <cp:keywords/>
  <dc:description/>
  <cp:lastModifiedBy>Gabriel I. COSTACHE</cp:lastModifiedBy>
  <cp:revision>106</cp:revision>
  <cp:lastPrinted>2016-08-18T10:27:00Z</cp:lastPrinted>
  <dcterms:created xsi:type="dcterms:W3CDTF">2016-08-03T09:46:00Z</dcterms:created>
  <dcterms:modified xsi:type="dcterms:W3CDTF">2016-08-18T13:01:00Z</dcterms:modified>
</cp:coreProperties>
</file>